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0E" w:rsidRPr="0063550E" w:rsidRDefault="00114B21" w:rsidP="0063550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Meeting Agenda</w:t>
      </w:r>
    </w:p>
    <w:p w:rsidR="0063550E" w:rsidRPr="0063550E" w:rsidRDefault="0063550E" w:rsidP="0063550E">
      <w:pPr>
        <w:rPr>
          <w:rFonts w:ascii="Book Antiqua" w:hAnsi="Book Antiqua" w:cs="Arial"/>
          <w:b/>
        </w:rPr>
      </w:pPr>
      <w:r w:rsidRPr="0063550E">
        <w:rPr>
          <w:rFonts w:ascii="Book Antiqua" w:hAnsi="Book Antiqua" w:cs="Arial"/>
          <w:b/>
        </w:rPr>
        <w:t>Date:</w:t>
      </w:r>
      <w:r w:rsidRPr="0063550E">
        <w:rPr>
          <w:rFonts w:ascii="Book Antiqua" w:hAnsi="Book Antiqua" w:cs="Arial"/>
          <w:b/>
        </w:rPr>
        <w:tab/>
      </w:r>
      <w:r w:rsidRPr="0063550E">
        <w:rPr>
          <w:rFonts w:ascii="Book Antiqua" w:hAnsi="Book Antiqua" w:cs="Arial"/>
          <w:b/>
        </w:rPr>
        <w:tab/>
      </w:r>
      <w:r w:rsidRPr="0063550E">
        <w:rPr>
          <w:rFonts w:ascii="Book Antiqua" w:hAnsi="Book Antiqua" w:cs="Arial"/>
          <w:b/>
        </w:rPr>
        <w:tab/>
      </w:r>
      <w:r w:rsidRPr="0063550E">
        <w:rPr>
          <w:rFonts w:ascii="Book Antiqua" w:hAnsi="Book Antiqua" w:cs="Arial"/>
          <w:b/>
        </w:rPr>
        <w:tab/>
      </w:r>
      <w:r w:rsidR="00BA310A">
        <w:rPr>
          <w:rFonts w:ascii="Book Antiqua" w:hAnsi="Book Antiqua" w:cs="Arial"/>
        </w:rPr>
        <w:t>May 18</w:t>
      </w:r>
      <w:r>
        <w:rPr>
          <w:rFonts w:ascii="Book Antiqua" w:hAnsi="Book Antiqua" w:cs="Arial"/>
        </w:rPr>
        <w:t>, 201</w:t>
      </w:r>
      <w:r w:rsidR="00507820">
        <w:rPr>
          <w:rFonts w:ascii="Book Antiqua" w:hAnsi="Book Antiqua" w:cs="Arial"/>
        </w:rPr>
        <w:t>2</w:t>
      </w:r>
    </w:p>
    <w:p w:rsidR="0063550E" w:rsidRPr="0063550E" w:rsidRDefault="0063550E" w:rsidP="0063550E">
      <w:pPr>
        <w:rPr>
          <w:rFonts w:ascii="Book Antiqua" w:hAnsi="Book Antiqua" w:cs="Arial"/>
        </w:rPr>
      </w:pPr>
      <w:r w:rsidRPr="0063550E">
        <w:rPr>
          <w:rFonts w:ascii="Book Antiqua" w:hAnsi="Book Antiqua" w:cs="Arial"/>
          <w:b/>
        </w:rPr>
        <w:t>Time:</w:t>
      </w:r>
      <w:r w:rsidRPr="0063550E">
        <w:rPr>
          <w:rFonts w:ascii="Book Antiqua" w:hAnsi="Book Antiqua" w:cs="Arial"/>
        </w:rPr>
        <w:tab/>
      </w:r>
      <w:r w:rsidRPr="0063550E">
        <w:rPr>
          <w:rFonts w:ascii="Book Antiqua" w:hAnsi="Book Antiqua" w:cs="Arial"/>
        </w:rPr>
        <w:tab/>
      </w:r>
      <w:r w:rsidRPr="0063550E">
        <w:rPr>
          <w:rFonts w:ascii="Book Antiqua" w:hAnsi="Book Antiqua" w:cs="Arial"/>
        </w:rPr>
        <w:tab/>
      </w:r>
      <w:r w:rsidRPr="0063550E">
        <w:rPr>
          <w:rFonts w:ascii="Book Antiqua" w:hAnsi="Book Antiqua" w:cs="Arial"/>
        </w:rPr>
        <w:tab/>
        <w:t>8:30 am – 4:00 pm</w:t>
      </w:r>
    </w:p>
    <w:p w:rsidR="00BA310A" w:rsidRPr="00BA310A" w:rsidRDefault="0063550E" w:rsidP="00BA310A">
      <w:pPr>
        <w:rPr>
          <w:rFonts w:ascii="Book Antiqua" w:hAnsi="Book Antiqua" w:cs="Arial"/>
          <w:b/>
        </w:rPr>
      </w:pPr>
      <w:r w:rsidRPr="0063550E">
        <w:rPr>
          <w:rFonts w:ascii="Book Antiqua" w:hAnsi="Book Antiqua" w:cs="Arial"/>
          <w:b/>
        </w:rPr>
        <w:t>Location:</w:t>
      </w:r>
      <w:r w:rsidRPr="0063550E">
        <w:rPr>
          <w:rFonts w:ascii="Book Antiqua" w:hAnsi="Book Antiqua" w:cs="Arial"/>
        </w:rPr>
        <w:tab/>
      </w:r>
      <w:r w:rsidRPr="0063550E">
        <w:rPr>
          <w:rFonts w:ascii="Book Antiqua" w:hAnsi="Book Antiqua" w:cs="Arial"/>
        </w:rPr>
        <w:tab/>
      </w:r>
      <w:r w:rsidRPr="0063550E">
        <w:rPr>
          <w:rFonts w:ascii="Book Antiqua" w:hAnsi="Book Antiqua" w:cs="Arial"/>
        </w:rPr>
        <w:tab/>
      </w:r>
      <w:r w:rsidR="00BA310A" w:rsidRPr="00BA310A">
        <w:rPr>
          <w:rFonts w:ascii="Book Antiqua" w:hAnsi="Book Antiqua" w:cs="Arial"/>
          <w:b/>
        </w:rPr>
        <w:t xml:space="preserve">Sacramento Delta King </w:t>
      </w:r>
    </w:p>
    <w:p w:rsidR="00BA310A" w:rsidRPr="00BA310A" w:rsidRDefault="00BA310A" w:rsidP="00BA310A">
      <w:pPr>
        <w:ind w:left="2880"/>
        <w:rPr>
          <w:rFonts w:ascii="Book Antiqua" w:hAnsi="Book Antiqua" w:cs="Arial"/>
        </w:rPr>
      </w:pPr>
      <w:r w:rsidRPr="00BA310A">
        <w:rPr>
          <w:rFonts w:ascii="Book Antiqua" w:hAnsi="Book Antiqua" w:cs="Arial"/>
        </w:rPr>
        <w:t xml:space="preserve">1000 Front Street </w:t>
      </w:r>
    </w:p>
    <w:p w:rsidR="004E76A0" w:rsidRPr="00BA310A" w:rsidRDefault="00BA310A" w:rsidP="00BA310A">
      <w:pPr>
        <w:ind w:left="2880"/>
        <w:rPr>
          <w:rFonts w:ascii="Book Antiqua" w:hAnsi="Book Antiqua" w:cs="Arial"/>
        </w:rPr>
      </w:pPr>
      <w:r w:rsidRPr="00BA310A">
        <w:rPr>
          <w:rFonts w:ascii="Book Antiqua" w:hAnsi="Book Antiqua" w:cs="Arial"/>
        </w:rPr>
        <w:t>Old Sacramento, CA 95814</w:t>
      </w:r>
    </w:p>
    <w:p w:rsidR="0063550E" w:rsidRPr="00A0383F" w:rsidRDefault="0063550E" w:rsidP="0063550E">
      <w:pPr>
        <w:rPr>
          <w:rFonts w:ascii="Book Antiqua" w:hAnsi="Book Antiqua" w:cs="Arial"/>
          <w:b/>
          <w:sz w:val="12"/>
          <w:szCs w:val="12"/>
        </w:rPr>
      </w:pPr>
    </w:p>
    <w:p w:rsidR="00BA2EFF" w:rsidRDefault="00BA2EFF" w:rsidP="00BA2EFF">
      <w:pPr>
        <w:jc w:val="left"/>
        <w:rPr>
          <w:rFonts w:ascii="Book Antiqua" w:hAnsi="Book Antiqua" w:cs="Arial"/>
        </w:rPr>
      </w:pPr>
      <w:r w:rsidRPr="00BA2EFF">
        <w:rPr>
          <w:rFonts w:ascii="Book Antiqua" w:hAnsi="Book Antiqua" w:cs="Arial"/>
          <w:b/>
        </w:rPr>
        <w:t>Joint meeting with California Counties Facilities Services Association (CCFSA)</w:t>
      </w:r>
    </w:p>
    <w:p w:rsidR="00C71461" w:rsidRDefault="00C71461" w:rsidP="00BA2EFF">
      <w:pPr>
        <w:spacing w:before="120"/>
        <w:rPr>
          <w:rFonts w:ascii="Book Antiqua" w:hAnsi="Book Antiqua" w:cs="Arial"/>
        </w:rPr>
      </w:pPr>
    </w:p>
    <w:p w:rsidR="00BA2EFF" w:rsidRPr="00BA2EFF" w:rsidRDefault="00BA2EFF" w:rsidP="00BA2EFF">
      <w:pPr>
        <w:spacing w:before="120"/>
        <w:rPr>
          <w:rFonts w:ascii="Book Antiqua" w:hAnsi="Book Antiqua" w:cs="Arial"/>
        </w:rPr>
      </w:pPr>
      <w:bookmarkStart w:id="0" w:name="_GoBack"/>
      <w:bookmarkEnd w:id="0"/>
      <w:r w:rsidRPr="00BA2EFF">
        <w:rPr>
          <w:rFonts w:ascii="Book Antiqua" w:hAnsi="Book Antiqua" w:cs="Arial"/>
        </w:rPr>
        <w:t>Operations participation in the design/construction/post-construction process</w:t>
      </w:r>
    </w:p>
    <w:p w:rsidR="0055289B" w:rsidRPr="0005785E" w:rsidRDefault="00BA2EFF" w:rsidP="0055289B">
      <w:pPr>
        <w:ind w:left="360" w:hanging="245"/>
        <w:rPr>
          <w:rFonts w:ascii="Book Antiqua" w:hAnsi="Book Antiqua" w:cs="Arial"/>
          <w:i/>
        </w:rPr>
      </w:pPr>
      <w:r w:rsidRPr="0005785E">
        <w:rPr>
          <w:rFonts w:ascii="Book Antiqua" w:hAnsi="Book Antiqua" w:cs="Arial"/>
          <w:i/>
        </w:rPr>
        <w:t>•</w:t>
      </w:r>
      <w:r w:rsidRPr="0005785E">
        <w:rPr>
          <w:rFonts w:ascii="Book Antiqua" w:hAnsi="Book Antiqua" w:cs="Arial"/>
          <w:i/>
        </w:rPr>
        <w:tab/>
        <w:t>Operations involvemen</w:t>
      </w:r>
      <w:r w:rsidR="0055289B" w:rsidRPr="0005785E">
        <w:rPr>
          <w:rFonts w:ascii="Book Antiqua" w:hAnsi="Book Antiqua" w:cs="Arial"/>
          <w:i/>
        </w:rPr>
        <w:t>t in design and spec development</w:t>
      </w:r>
    </w:p>
    <w:p w:rsidR="0055289B" w:rsidRDefault="0055289B" w:rsidP="00D4514B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Consider Facility Operations as one of the clients</w:t>
      </w:r>
    </w:p>
    <w:p w:rsidR="0055289B" w:rsidRDefault="0055289B" w:rsidP="0055289B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Schedule a distinct, focused programming meeting to discuss needs and objectives</w:t>
      </w:r>
    </w:p>
    <w:p w:rsidR="0055289B" w:rsidRDefault="0055289B" w:rsidP="0055289B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Ask about what hasn’t worked and what needs to be corrected, particularly in remodels</w:t>
      </w:r>
    </w:p>
    <w:p w:rsidR="0055289B" w:rsidRDefault="0055289B" w:rsidP="0055289B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Divide involvement of Ops by division for guided, focused review</w:t>
      </w:r>
    </w:p>
    <w:p w:rsidR="0055289B" w:rsidRDefault="0055289B" w:rsidP="0055289B">
      <w:pPr>
        <w:numPr>
          <w:ilvl w:val="2"/>
          <w:numId w:val="10"/>
        </w:numPr>
        <w:ind w:left="1260" w:hanging="155"/>
        <w:rPr>
          <w:rFonts w:ascii="Book Antiqua" w:hAnsi="Book Antiqua" w:cs="Arial"/>
        </w:rPr>
      </w:pPr>
      <w:r>
        <w:rPr>
          <w:rFonts w:ascii="Book Antiqua" w:hAnsi="Book Antiqua" w:cs="Arial"/>
        </w:rPr>
        <w:t>Enlist the Supervisor for acknowledgment of the importance to devote time and input</w:t>
      </w:r>
    </w:p>
    <w:p w:rsidR="0055289B" w:rsidRDefault="0055289B" w:rsidP="0055289B">
      <w:pPr>
        <w:numPr>
          <w:ilvl w:val="2"/>
          <w:numId w:val="10"/>
        </w:numPr>
        <w:ind w:left="1260" w:hanging="155"/>
        <w:rPr>
          <w:rFonts w:ascii="Book Antiqua" w:hAnsi="Book Antiqua" w:cs="Arial"/>
        </w:rPr>
      </w:pPr>
      <w:r>
        <w:rPr>
          <w:rFonts w:ascii="Book Antiqua" w:hAnsi="Book Antiqua" w:cs="Arial"/>
        </w:rPr>
        <w:t>Include custodial/maintenance service contracting for their input</w:t>
      </w:r>
    </w:p>
    <w:p w:rsidR="0055289B" w:rsidRDefault="0055289B" w:rsidP="0055289B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Identify a primary Ops liaison for the project</w:t>
      </w:r>
    </w:p>
    <w:p w:rsidR="0055289B" w:rsidRDefault="0005785E" w:rsidP="00D4514B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Develop and maintain design guidelines/standards for key systems and equipment</w:t>
      </w:r>
    </w:p>
    <w:p w:rsidR="0005785E" w:rsidRDefault="0005785E" w:rsidP="00D4514B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Approaching new technologies</w:t>
      </w:r>
    </w:p>
    <w:p w:rsidR="0005785E" w:rsidRDefault="0005785E" w:rsidP="0005785E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Keep it simple; if it offers energy savings, or what does it take to operate?</w:t>
      </w:r>
    </w:p>
    <w:p w:rsidR="00D4514B" w:rsidRDefault="00D4514B" w:rsidP="0005785E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It is important for both sides to be flexible in selection, as well as designing for future flexibility since functions and organizations will change</w:t>
      </w:r>
    </w:p>
    <w:p w:rsidR="00D4514B" w:rsidRDefault="00D4514B" w:rsidP="0005785E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Keep it practical,</w:t>
      </w:r>
      <w:r w:rsidRPr="00D4514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straightforward – recognize inventory count of items (such as lamps)</w:t>
      </w:r>
    </w:p>
    <w:p w:rsidR="00D4514B" w:rsidRDefault="00D4514B" w:rsidP="0005785E">
      <w:pPr>
        <w:numPr>
          <w:ilvl w:val="1"/>
          <w:numId w:val="10"/>
        </w:numPr>
        <w:ind w:left="1080" w:hanging="180"/>
        <w:rPr>
          <w:rFonts w:ascii="Book Antiqua" w:hAnsi="Book Antiqua" w:cs="Arial"/>
        </w:rPr>
      </w:pPr>
      <w:r>
        <w:rPr>
          <w:rFonts w:ascii="Book Antiqua" w:hAnsi="Book Antiqua" w:cs="Arial"/>
        </w:rPr>
        <w:t>Consider staff capabilities and workforce skills</w:t>
      </w:r>
    </w:p>
    <w:p w:rsidR="00D4514B" w:rsidRDefault="00D4514B" w:rsidP="00D4514B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Quality of equipment assembly/fabrication, quality control may need to be verified</w:t>
      </w:r>
    </w:p>
    <w:p w:rsidR="00D4514B" w:rsidRPr="00BA2EFF" w:rsidRDefault="00D4514B" w:rsidP="00D4514B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Provide interactive training sessions, hands-on and video-taped, and scheduled to recognize Ops staff have day jobs outside the project</w:t>
      </w:r>
    </w:p>
    <w:p w:rsidR="000472BE" w:rsidRDefault="000472BE" w:rsidP="000472BE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Consider having Project and Ops staff job shadow each other to get an appreciation for their colleague’s work and issues</w:t>
      </w:r>
    </w:p>
    <w:p w:rsidR="000472BE" w:rsidRDefault="000472BE" w:rsidP="000472BE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Maintenance Management system – capturing and maintaining asset history</w:t>
      </w:r>
    </w:p>
    <w:p w:rsidR="000472BE" w:rsidRDefault="000472BE" w:rsidP="000472BE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Consider including a post-occupancy evaluation in contracts to review project 1 to 2 years following completion and move-in</w:t>
      </w:r>
    </w:p>
    <w:p w:rsidR="000472BE" w:rsidRDefault="000472BE" w:rsidP="000472BE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Retro-commissioning older buildings can offer significant savings/efficiencies</w:t>
      </w:r>
    </w:p>
    <w:p w:rsidR="000472BE" w:rsidRDefault="000472BE" w:rsidP="000472BE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Include 1-year warranty/commissioning review in contracts</w:t>
      </w:r>
    </w:p>
    <w:p w:rsidR="000472BE" w:rsidRDefault="000472BE" w:rsidP="000472BE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Have end-user included in such reviews</w:t>
      </w:r>
    </w:p>
    <w:p w:rsidR="00BA2EFF" w:rsidRPr="00D4514B" w:rsidRDefault="00BA2EFF" w:rsidP="00BA2EFF">
      <w:pPr>
        <w:ind w:left="360" w:hanging="245"/>
        <w:rPr>
          <w:rFonts w:ascii="Book Antiqua" w:hAnsi="Book Antiqua" w:cs="Arial"/>
          <w:i/>
        </w:rPr>
      </w:pPr>
      <w:r w:rsidRPr="00D4514B">
        <w:rPr>
          <w:rFonts w:ascii="Book Antiqua" w:hAnsi="Book Antiqua" w:cs="Arial"/>
          <w:i/>
        </w:rPr>
        <w:t>•</w:t>
      </w:r>
      <w:r w:rsidRPr="00D4514B">
        <w:rPr>
          <w:rFonts w:ascii="Book Antiqua" w:hAnsi="Book Antiqua" w:cs="Arial"/>
          <w:i/>
        </w:rPr>
        <w:tab/>
        <w:t>Transition from Construction to Operations</w:t>
      </w:r>
    </w:p>
    <w:p w:rsidR="000472BE" w:rsidRDefault="00D03BF6" w:rsidP="00D4514B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Placer County holds a “close-out planning” meeting of internal </w:t>
      </w:r>
      <w:r w:rsidR="00635CF6">
        <w:rPr>
          <w:rFonts w:ascii="Book Antiqua" w:hAnsi="Book Antiqua" w:cs="Arial"/>
        </w:rPr>
        <w:t xml:space="preserve">DGS </w:t>
      </w:r>
      <w:r>
        <w:rPr>
          <w:rFonts w:ascii="Book Antiqua" w:hAnsi="Book Antiqua" w:cs="Arial"/>
        </w:rPr>
        <w:t>divisions that have some responsibility for the project/building/assets/records</w:t>
      </w:r>
    </w:p>
    <w:p w:rsidR="00D03BF6" w:rsidRPr="00BA2EFF" w:rsidRDefault="00D03BF6" w:rsidP="00D03BF6">
      <w:pPr>
        <w:numPr>
          <w:ilvl w:val="1"/>
          <w:numId w:val="10"/>
        </w:numPr>
        <w:tabs>
          <w:tab w:val="left" w:pos="72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Scope review to identify needs, such as update drawings if existing building, or record new drawings; </w:t>
      </w:r>
      <w:r w:rsidR="00635CF6">
        <w:rPr>
          <w:rFonts w:ascii="Book Antiqua" w:hAnsi="Book Antiqua" w:cs="Arial"/>
        </w:rPr>
        <w:t>assess staffing requirements; identify new utility accounts/payees and timing; plan recording of new assets/equipment or disposition of old; plan accounting changes</w:t>
      </w:r>
    </w:p>
    <w:p w:rsidR="00635CF6" w:rsidRPr="00635CF6" w:rsidRDefault="00635CF6" w:rsidP="00635CF6">
      <w:pPr>
        <w:ind w:left="360" w:hanging="245"/>
        <w:rPr>
          <w:rFonts w:ascii="Book Antiqua" w:hAnsi="Book Antiqua" w:cs="Arial"/>
          <w:i/>
        </w:rPr>
      </w:pPr>
      <w:r w:rsidRPr="00635CF6">
        <w:rPr>
          <w:rFonts w:ascii="Book Antiqua" w:hAnsi="Book Antiqua" w:cs="Arial"/>
          <w:i/>
        </w:rPr>
        <w:t>•</w:t>
      </w:r>
      <w:r w:rsidRPr="00635CF6">
        <w:rPr>
          <w:rFonts w:ascii="Book Antiqua" w:hAnsi="Book Antiqua" w:cs="Arial"/>
          <w:i/>
        </w:rPr>
        <w:tab/>
        <w:t>Making Commissioning work – establishing expectations and assuring total system performance</w:t>
      </w:r>
    </w:p>
    <w:p w:rsidR="00635CF6" w:rsidRDefault="00635CF6" w:rsidP="00635CF6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Use and independent commissioning agent</w:t>
      </w:r>
    </w:p>
    <w:p w:rsidR="00635CF6" w:rsidRDefault="00635CF6" w:rsidP="00635CF6">
      <w:pPr>
        <w:numPr>
          <w:ilvl w:val="1"/>
          <w:numId w:val="10"/>
        </w:numPr>
        <w:tabs>
          <w:tab w:val="left" w:pos="72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Few counties self-perform</w:t>
      </w:r>
    </w:p>
    <w:p w:rsidR="00635CF6" w:rsidRDefault="00635CF6" w:rsidP="00635CF6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Run systems as a whole, simulate variety of situations</w:t>
      </w:r>
    </w:p>
    <w:p w:rsidR="00635CF6" w:rsidRDefault="00635CF6" w:rsidP="00635CF6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Use integrated system test plans</w:t>
      </w:r>
    </w:p>
    <w:p w:rsidR="00635CF6" w:rsidRPr="00BA2EFF" w:rsidRDefault="00635CF6" w:rsidP="00635CF6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Work with utilities to develop load shed options to test load shed operations</w:t>
      </w:r>
    </w:p>
    <w:p w:rsidR="00BA2EFF" w:rsidRPr="00A80696" w:rsidRDefault="00BA2EFF" w:rsidP="00BA2EFF">
      <w:pPr>
        <w:ind w:left="360" w:hanging="245"/>
        <w:rPr>
          <w:rFonts w:ascii="Book Antiqua" w:hAnsi="Book Antiqua" w:cs="Arial"/>
          <w:i/>
        </w:rPr>
      </w:pPr>
      <w:r w:rsidRPr="00A80696">
        <w:rPr>
          <w:rFonts w:ascii="Book Antiqua" w:hAnsi="Book Antiqua" w:cs="Arial"/>
          <w:i/>
        </w:rPr>
        <w:t>•</w:t>
      </w:r>
      <w:r w:rsidRPr="00A80696">
        <w:rPr>
          <w:rFonts w:ascii="Book Antiqua" w:hAnsi="Book Antiqua" w:cs="Arial"/>
          <w:i/>
        </w:rPr>
        <w:tab/>
        <w:t>Translate incremental maintenance/operational facility modifications to accurate as-built drawings</w:t>
      </w:r>
    </w:p>
    <w:p w:rsidR="00635CF6" w:rsidRDefault="00635CF6" w:rsidP="00635CF6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Placer </w:t>
      </w:r>
      <w:r w:rsidR="00056857">
        <w:rPr>
          <w:rFonts w:ascii="Book Antiqua" w:hAnsi="Book Antiqua" w:cs="Arial"/>
        </w:rPr>
        <w:t xml:space="preserve">– FAMIS system accepts CAD </w:t>
      </w:r>
      <w:proofErr w:type="spellStart"/>
      <w:r w:rsidR="00056857">
        <w:rPr>
          <w:rFonts w:ascii="Book Antiqua" w:hAnsi="Book Antiqua" w:cs="Arial"/>
        </w:rPr>
        <w:t>polylined</w:t>
      </w:r>
      <w:proofErr w:type="spellEnd"/>
      <w:r w:rsidR="00056857">
        <w:rPr>
          <w:rFonts w:ascii="Book Antiqua" w:hAnsi="Book Antiqua" w:cs="Arial"/>
        </w:rPr>
        <w:t xml:space="preserve"> plans, using </w:t>
      </w:r>
      <w:proofErr w:type="spellStart"/>
      <w:r w:rsidR="00056857">
        <w:rPr>
          <w:rFonts w:ascii="Book Antiqua" w:hAnsi="Book Antiqua" w:cs="Arial"/>
        </w:rPr>
        <w:t>pdf</w:t>
      </w:r>
      <w:proofErr w:type="spellEnd"/>
      <w:r w:rsidR="00056857">
        <w:rPr>
          <w:rFonts w:ascii="Book Antiqua" w:hAnsi="Book Antiqua" w:cs="Arial"/>
        </w:rPr>
        <w:t xml:space="preserve"> format for portability in field use</w:t>
      </w:r>
    </w:p>
    <w:p w:rsidR="00056857" w:rsidRDefault="00056857" w:rsidP="00635CF6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Important to establish a task to update equipment assets</w:t>
      </w:r>
      <w:r w:rsidR="00321E37">
        <w:rPr>
          <w:rFonts w:ascii="Book Antiqua" w:hAnsi="Book Antiqua" w:cs="Arial"/>
        </w:rPr>
        <w:t xml:space="preserve"> when replaced by a maintenance WO</w:t>
      </w:r>
    </w:p>
    <w:p w:rsidR="00321E37" w:rsidRDefault="00321E37" w:rsidP="00635CF6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Translation of BIM data to CMMS is a new issue, determining which level of data to transfer, apps and staff capability, means and responsibility for import and verification</w:t>
      </w:r>
    </w:p>
    <w:p w:rsidR="00321E37" w:rsidRDefault="00321E37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Consider ability to scan bar-codes on tablets in field to ID equipment</w:t>
      </w:r>
    </w:p>
    <w:p w:rsidR="00321E37" w:rsidRDefault="00321E37" w:rsidP="00321E37">
      <w:pPr>
        <w:numPr>
          <w:ilvl w:val="0"/>
          <w:numId w:val="10"/>
        </w:numPr>
        <w:tabs>
          <w:tab w:val="left" w:pos="72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Resources to update as-</w:t>
      </w:r>
      <w:proofErr w:type="spellStart"/>
      <w:r>
        <w:rPr>
          <w:rFonts w:ascii="Book Antiqua" w:hAnsi="Book Antiqua" w:cs="Arial"/>
        </w:rPr>
        <w:t>builts</w:t>
      </w:r>
      <w:proofErr w:type="spellEnd"/>
      <w:r>
        <w:rPr>
          <w:rFonts w:ascii="Book Antiqua" w:hAnsi="Book Antiqua" w:cs="Arial"/>
        </w:rPr>
        <w:t xml:space="preserve"> and maintenance asset data are difficult to justify</w:t>
      </w:r>
    </w:p>
    <w:p w:rsidR="00321E37" w:rsidRDefault="00321E37" w:rsidP="00321E37">
      <w:pPr>
        <w:numPr>
          <w:ilvl w:val="0"/>
          <w:numId w:val="10"/>
        </w:numPr>
        <w:tabs>
          <w:tab w:val="left" w:pos="72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Leased facilities often managed separately, so collaboration with Real Estate is important</w:t>
      </w:r>
    </w:p>
    <w:p w:rsidR="00321E37" w:rsidRDefault="00905BF4" w:rsidP="00321E37">
      <w:pPr>
        <w:numPr>
          <w:ilvl w:val="0"/>
          <w:numId w:val="10"/>
        </w:numPr>
        <w:tabs>
          <w:tab w:val="left" w:pos="72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Processes to maintain up-to-date data while tracking historical information and changes is a constant challenge</w:t>
      </w:r>
      <w:proofErr w:type="gramStart"/>
      <w:r>
        <w:rPr>
          <w:rFonts w:ascii="Book Antiqua" w:hAnsi="Book Antiqua" w:cs="Arial"/>
        </w:rPr>
        <w:t>;</w:t>
      </w:r>
      <w:proofErr w:type="gramEnd"/>
      <w:r>
        <w:rPr>
          <w:rFonts w:ascii="Book Antiqua" w:hAnsi="Book Antiqua" w:cs="Arial"/>
        </w:rPr>
        <w:t xml:space="preserve"> what level of data and history is important and supportable?</w:t>
      </w:r>
    </w:p>
    <w:p w:rsidR="005E2315" w:rsidRDefault="005E2315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Routine equipment changes need to be captured</w:t>
      </w:r>
    </w:p>
    <w:p w:rsidR="00905BF4" w:rsidRDefault="00905BF4" w:rsidP="00321E37">
      <w:pPr>
        <w:numPr>
          <w:ilvl w:val="0"/>
          <w:numId w:val="10"/>
        </w:numPr>
        <w:tabs>
          <w:tab w:val="left" w:pos="72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GPS-linked facilities map with building data</w:t>
      </w:r>
      <w:r w:rsidR="005E2315">
        <w:rPr>
          <w:rFonts w:ascii="Book Antiqua" w:hAnsi="Book Antiqua" w:cs="Arial"/>
        </w:rPr>
        <w:t xml:space="preserve"> can be useful for emergency operations</w:t>
      </w:r>
    </w:p>
    <w:p w:rsidR="005E2315" w:rsidRDefault="005E2315" w:rsidP="00321E37">
      <w:pPr>
        <w:numPr>
          <w:ilvl w:val="0"/>
          <w:numId w:val="10"/>
        </w:numPr>
        <w:tabs>
          <w:tab w:val="left" w:pos="72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Photo documentation of construction progress to monitor concealed work can be very useful</w:t>
      </w:r>
    </w:p>
    <w:p w:rsidR="005E2315" w:rsidRDefault="005E2315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A formal process of regular progress photos at set key locations that may shift through the work can be particularly useful for future repairs</w:t>
      </w:r>
    </w:p>
    <w:p w:rsidR="005E2315" w:rsidRDefault="005E2315" w:rsidP="00903479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format and </w:t>
      </w:r>
      <w:r w:rsidR="00EC3B82">
        <w:rPr>
          <w:rFonts w:ascii="Book Antiqua" w:hAnsi="Book Antiqua" w:cs="Arial"/>
        </w:rPr>
        <w:t>timing of As-Built delivery is inconsistent</w:t>
      </w:r>
    </w:p>
    <w:p w:rsidR="00EC3B82" w:rsidRDefault="00EC3B82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The industry is still working through ownership of BIM models, whether it is a product of service or a means of production</w:t>
      </w:r>
    </w:p>
    <w:p w:rsidR="00EC3B82" w:rsidRDefault="00EC3B82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There are a variety of formats and systems requirements, that do not always communicate</w:t>
      </w:r>
    </w:p>
    <w:p w:rsidR="00EC3B82" w:rsidRDefault="00EC3B82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Indemnification is an issue to be resolved</w:t>
      </w:r>
    </w:p>
    <w:p w:rsidR="00EC3B82" w:rsidRDefault="00EC3B82" w:rsidP="00903479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Use of “backgrounds” for future, follow-on remodel projects has been a recognized use</w:t>
      </w:r>
    </w:p>
    <w:p w:rsidR="00EC3B82" w:rsidRDefault="00EC3B82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Contract language should address ownership and license for use/re-use</w:t>
      </w:r>
    </w:p>
    <w:p w:rsidR="00EC3B82" w:rsidRDefault="00EC3B82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Ownership of liability for conditions on re-use can be contentious</w:t>
      </w:r>
    </w:p>
    <w:p w:rsidR="00EC3B82" w:rsidRDefault="00EC3B82" w:rsidP="00EC3B82">
      <w:pPr>
        <w:numPr>
          <w:ilvl w:val="1"/>
          <w:numId w:val="10"/>
        </w:numPr>
        <w:tabs>
          <w:tab w:val="left" w:pos="720"/>
        </w:tabs>
        <w:ind w:left="1440" w:hanging="245"/>
        <w:rPr>
          <w:rFonts w:ascii="Book Antiqua" w:hAnsi="Book Antiqua" w:cs="Arial"/>
        </w:rPr>
      </w:pPr>
      <w:r>
        <w:rPr>
          <w:rFonts w:ascii="Book Antiqua" w:hAnsi="Book Antiqua" w:cs="Arial"/>
        </w:rPr>
        <w:t>Standard should address “clouding” RFIs, ASIs, Change Orders, and should be stipulated in the contract</w:t>
      </w:r>
    </w:p>
    <w:p w:rsidR="00EC3B82" w:rsidRPr="00BA2EFF" w:rsidRDefault="00EC3B82" w:rsidP="00903479">
      <w:pPr>
        <w:numPr>
          <w:ilvl w:val="0"/>
          <w:numId w:val="10"/>
        </w:numPr>
        <w:tabs>
          <w:tab w:val="left" w:pos="720"/>
        </w:tabs>
        <w:ind w:left="720" w:hanging="270"/>
        <w:rPr>
          <w:rFonts w:ascii="Book Antiqua" w:hAnsi="Book Antiqua" w:cs="Arial"/>
        </w:rPr>
      </w:pPr>
      <w:r>
        <w:rPr>
          <w:rFonts w:ascii="Book Antiqua" w:hAnsi="Book Antiqua" w:cs="Arial"/>
        </w:rPr>
        <w:t>Construction project “partnering” process should include key Operations personnel</w:t>
      </w:r>
    </w:p>
    <w:p w:rsidR="001A29F0" w:rsidRPr="00271EF6" w:rsidRDefault="001A29F0" w:rsidP="00AA1ABB">
      <w:pPr>
        <w:ind w:left="2880" w:hanging="2880"/>
        <w:jc w:val="left"/>
        <w:rPr>
          <w:sz w:val="8"/>
          <w:szCs w:val="8"/>
        </w:rPr>
      </w:pPr>
    </w:p>
    <w:sectPr w:rsidR="001A29F0" w:rsidRPr="00271EF6" w:rsidSect="002A2160">
      <w:headerReference w:type="default" r:id="rId9"/>
      <w:pgSz w:w="12240" w:h="15840" w:code="1"/>
      <w:pgMar w:top="126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40" w:rsidRDefault="00E46440">
      <w:r>
        <w:separator/>
      </w:r>
    </w:p>
  </w:endnote>
  <w:endnote w:type="continuationSeparator" w:id="0">
    <w:p w:rsidR="00E46440" w:rsidRDefault="00E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40" w:rsidRDefault="00E46440">
      <w:r>
        <w:separator/>
      </w:r>
    </w:p>
  </w:footnote>
  <w:footnote w:type="continuationSeparator" w:id="0">
    <w:p w:rsidR="00E46440" w:rsidRDefault="00E46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40" w:rsidRDefault="00E46440" w:rsidP="002A2160">
    <w:pPr>
      <w:pStyle w:val="Header"/>
      <w:tabs>
        <w:tab w:val="clear" w:pos="8640"/>
        <w:tab w:val="right" w:pos="8820"/>
      </w:tabs>
      <w:ind w:right="-18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EE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95AFC"/>
    <w:multiLevelType w:val="hybridMultilevel"/>
    <w:tmpl w:val="6994C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B1B3DF1"/>
    <w:multiLevelType w:val="hybridMultilevel"/>
    <w:tmpl w:val="FBEE7E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E64D32"/>
    <w:multiLevelType w:val="hybridMultilevel"/>
    <w:tmpl w:val="6F62645A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25777C07"/>
    <w:multiLevelType w:val="hybridMultilevel"/>
    <w:tmpl w:val="F35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006FD"/>
    <w:multiLevelType w:val="hybridMultilevel"/>
    <w:tmpl w:val="8646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5F004D5E"/>
    <w:multiLevelType w:val="hybridMultilevel"/>
    <w:tmpl w:val="8ECC89C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5F1026BD"/>
    <w:multiLevelType w:val="hybridMultilevel"/>
    <w:tmpl w:val="5B10FED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B3285"/>
    <w:multiLevelType w:val="hybridMultilevel"/>
    <w:tmpl w:val="C1FA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CD"/>
    <w:rsid w:val="000472BE"/>
    <w:rsid w:val="00056857"/>
    <w:rsid w:val="0005785E"/>
    <w:rsid w:val="00061C6E"/>
    <w:rsid w:val="000743C6"/>
    <w:rsid w:val="0008643C"/>
    <w:rsid w:val="00091729"/>
    <w:rsid w:val="000B3A2E"/>
    <w:rsid w:val="000B677C"/>
    <w:rsid w:val="00107940"/>
    <w:rsid w:val="001139AF"/>
    <w:rsid w:val="00114B21"/>
    <w:rsid w:val="001443EC"/>
    <w:rsid w:val="00151E0E"/>
    <w:rsid w:val="00161461"/>
    <w:rsid w:val="001772E6"/>
    <w:rsid w:val="001A29F0"/>
    <w:rsid w:val="001A4301"/>
    <w:rsid w:val="001A5914"/>
    <w:rsid w:val="001A6183"/>
    <w:rsid w:val="001B7990"/>
    <w:rsid w:val="00224AA6"/>
    <w:rsid w:val="00233FFE"/>
    <w:rsid w:val="00271EF6"/>
    <w:rsid w:val="002832DE"/>
    <w:rsid w:val="002847F7"/>
    <w:rsid w:val="002904DF"/>
    <w:rsid w:val="002A2160"/>
    <w:rsid w:val="002B60A2"/>
    <w:rsid w:val="002D44EE"/>
    <w:rsid w:val="002F75B5"/>
    <w:rsid w:val="003004FC"/>
    <w:rsid w:val="00306A3D"/>
    <w:rsid w:val="003135F8"/>
    <w:rsid w:val="003169CB"/>
    <w:rsid w:val="00321E37"/>
    <w:rsid w:val="003222C9"/>
    <w:rsid w:val="00384F17"/>
    <w:rsid w:val="003862B3"/>
    <w:rsid w:val="00410F86"/>
    <w:rsid w:val="00446C6D"/>
    <w:rsid w:val="00452D9E"/>
    <w:rsid w:val="004603EA"/>
    <w:rsid w:val="00464AB7"/>
    <w:rsid w:val="00472392"/>
    <w:rsid w:val="00482301"/>
    <w:rsid w:val="00484595"/>
    <w:rsid w:val="004C6345"/>
    <w:rsid w:val="004D31ED"/>
    <w:rsid w:val="004E76A0"/>
    <w:rsid w:val="004E7DFE"/>
    <w:rsid w:val="00507820"/>
    <w:rsid w:val="00510319"/>
    <w:rsid w:val="0055289B"/>
    <w:rsid w:val="00581911"/>
    <w:rsid w:val="00582049"/>
    <w:rsid w:val="00595084"/>
    <w:rsid w:val="005A113B"/>
    <w:rsid w:val="005C1413"/>
    <w:rsid w:val="005C4C35"/>
    <w:rsid w:val="005D5DED"/>
    <w:rsid w:val="005E2315"/>
    <w:rsid w:val="005F50A1"/>
    <w:rsid w:val="00604995"/>
    <w:rsid w:val="00606D8C"/>
    <w:rsid w:val="0063550E"/>
    <w:rsid w:val="00635CF6"/>
    <w:rsid w:val="0064541A"/>
    <w:rsid w:val="006511D3"/>
    <w:rsid w:val="0066522D"/>
    <w:rsid w:val="00677A8F"/>
    <w:rsid w:val="006B4CF3"/>
    <w:rsid w:val="0073241F"/>
    <w:rsid w:val="007A0EEA"/>
    <w:rsid w:val="007A37A3"/>
    <w:rsid w:val="007B3B2A"/>
    <w:rsid w:val="007F3456"/>
    <w:rsid w:val="0081411C"/>
    <w:rsid w:val="00862BCD"/>
    <w:rsid w:val="00882832"/>
    <w:rsid w:val="008B37A9"/>
    <w:rsid w:val="008C318C"/>
    <w:rsid w:val="00903479"/>
    <w:rsid w:val="00905BF4"/>
    <w:rsid w:val="00933145"/>
    <w:rsid w:val="00940D38"/>
    <w:rsid w:val="0095076E"/>
    <w:rsid w:val="00991C86"/>
    <w:rsid w:val="00A0383F"/>
    <w:rsid w:val="00A2572E"/>
    <w:rsid w:val="00A805B9"/>
    <w:rsid w:val="00A80696"/>
    <w:rsid w:val="00AA1ABB"/>
    <w:rsid w:val="00B476C2"/>
    <w:rsid w:val="00B80807"/>
    <w:rsid w:val="00BA2EFF"/>
    <w:rsid w:val="00BA310A"/>
    <w:rsid w:val="00BB3C12"/>
    <w:rsid w:val="00BC5812"/>
    <w:rsid w:val="00C125EA"/>
    <w:rsid w:val="00C2017E"/>
    <w:rsid w:val="00C40603"/>
    <w:rsid w:val="00C43E1C"/>
    <w:rsid w:val="00C71461"/>
    <w:rsid w:val="00C93DA4"/>
    <w:rsid w:val="00C963DC"/>
    <w:rsid w:val="00CA5988"/>
    <w:rsid w:val="00CB315F"/>
    <w:rsid w:val="00CC2BCD"/>
    <w:rsid w:val="00D03BF6"/>
    <w:rsid w:val="00D044B7"/>
    <w:rsid w:val="00D4489F"/>
    <w:rsid w:val="00D4514B"/>
    <w:rsid w:val="00D618CE"/>
    <w:rsid w:val="00D730B4"/>
    <w:rsid w:val="00DB407D"/>
    <w:rsid w:val="00E338BE"/>
    <w:rsid w:val="00E33B5F"/>
    <w:rsid w:val="00E46440"/>
    <w:rsid w:val="00E46AC9"/>
    <w:rsid w:val="00E55E4B"/>
    <w:rsid w:val="00E92C8E"/>
    <w:rsid w:val="00EC3B82"/>
    <w:rsid w:val="00ED10B4"/>
    <w:rsid w:val="00ED4BFB"/>
    <w:rsid w:val="00EE2081"/>
    <w:rsid w:val="00EF673E"/>
    <w:rsid w:val="00F208C4"/>
    <w:rsid w:val="00F209A8"/>
    <w:rsid w:val="00FC00D0"/>
    <w:rsid w:val="00FD0095"/>
    <w:rsid w:val="00FD0676"/>
    <w:rsid w:val="00FD4AAC"/>
    <w:rsid w:val="00FD7B5E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C8E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E92C8E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E92C8E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E92C8E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E92C8E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E92C8E"/>
    <w:pPr>
      <w:outlineLvl w:val="4"/>
    </w:pPr>
  </w:style>
  <w:style w:type="paragraph" w:styleId="Heading6">
    <w:name w:val="heading 6"/>
    <w:basedOn w:val="HeadingBase"/>
    <w:next w:val="BodyText"/>
    <w:qFormat/>
    <w:rsid w:val="00E92C8E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E92C8E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E92C8E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E92C8E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E92C8E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E92C8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E92C8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E92C8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E92C8E"/>
    <w:pPr>
      <w:spacing w:after="220"/>
      <w:ind w:left="4565"/>
    </w:pPr>
  </w:style>
  <w:style w:type="character" w:styleId="Emphasis">
    <w:name w:val="Emphasis"/>
    <w:qFormat/>
    <w:rsid w:val="00E92C8E"/>
    <w:rPr>
      <w:caps/>
      <w:sz w:val="18"/>
    </w:rPr>
  </w:style>
  <w:style w:type="paragraph" w:customStyle="1" w:styleId="Enclosure">
    <w:name w:val="Enclosure"/>
    <w:basedOn w:val="Normal"/>
    <w:next w:val="CcList"/>
    <w:rsid w:val="00E92C8E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E92C8E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E92C8E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E92C8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E92C8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E92C8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E92C8E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E92C8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E92C8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E92C8E"/>
    <w:pPr>
      <w:spacing w:before="0"/>
    </w:pPr>
  </w:style>
  <w:style w:type="character" w:customStyle="1" w:styleId="Slogan">
    <w:name w:val="Slogan"/>
    <w:rsid w:val="00E92C8E"/>
    <w:rPr>
      <w:i/>
      <w:spacing w:val="70"/>
    </w:rPr>
  </w:style>
  <w:style w:type="paragraph" w:customStyle="1" w:styleId="SubjectLine">
    <w:name w:val="Subject Line"/>
    <w:basedOn w:val="Normal"/>
    <w:next w:val="BodyText"/>
    <w:rsid w:val="00E92C8E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link w:val="HeaderChar"/>
    <w:rsid w:val="00E92C8E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E92C8E"/>
    <w:pPr>
      <w:ind w:left="720" w:hanging="360"/>
    </w:pPr>
  </w:style>
  <w:style w:type="paragraph" w:styleId="ListBullet">
    <w:name w:val="List Bullet"/>
    <w:basedOn w:val="List"/>
    <w:rsid w:val="00E92C8E"/>
    <w:pPr>
      <w:numPr>
        <w:numId w:val="1"/>
      </w:numPr>
      <w:ind w:right="720"/>
    </w:pPr>
  </w:style>
  <w:style w:type="paragraph" w:styleId="ListNumber">
    <w:name w:val="List Number"/>
    <w:basedOn w:val="List"/>
    <w:rsid w:val="00E92C8E"/>
    <w:pPr>
      <w:numPr>
        <w:numId w:val="2"/>
      </w:numPr>
      <w:ind w:right="720"/>
    </w:pPr>
  </w:style>
  <w:style w:type="paragraph" w:styleId="Footer">
    <w:name w:val="footer"/>
    <w:basedOn w:val="Normal"/>
    <w:rsid w:val="00E92C8E"/>
    <w:pPr>
      <w:tabs>
        <w:tab w:val="center" w:pos="4320"/>
        <w:tab w:val="right" w:pos="8640"/>
      </w:tabs>
    </w:pPr>
  </w:style>
  <w:style w:type="character" w:styleId="Hyperlink">
    <w:name w:val="Hyperlink"/>
    <w:rsid w:val="00E92C8E"/>
    <w:rPr>
      <w:color w:val="0000FF"/>
      <w:u w:val="single"/>
    </w:rPr>
  </w:style>
  <w:style w:type="paragraph" w:styleId="EnvelopeAddress">
    <w:name w:val="envelope address"/>
    <w:basedOn w:val="Normal"/>
    <w:rsid w:val="00E92C8E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92C8E"/>
    <w:pPr>
      <w:jc w:val="left"/>
    </w:pPr>
    <w:rPr>
      <w:rFonts w:ascii="Arial" w:hAnsi="Arial" w:cs="Arial"/>
    </w:rPr>
  </w:style>
  <w:style w:type="paragraph" w:styleId="NormalWeb">
    <w:name w:val="Normal (Web)"/>
    <w:basedOn w:val="Normal"/>
    <w:rsid w:val="00E92C8E"/>
    <w:pPr>
      <w:spacing w:before="100" w:beforeAutospacing="1" w:after="100" w:afterAutospacing="1"/>
      <w:jc w:val="left"/>
    </w:pPr>
    <w:rPr>
      <w:rFonts w:ascii="Times New Roman" w:eastAsia="Arial Unicode MS" w:hAnsi="Times New Roman"/>
      <w:kern w:val="0"/>
      <w:sz w:val="24"/>
      <w:szCs w:val="24"/>
    </w:rPr>
  </w:style>
  <w:style w:type="character" w:customStyle="1" w:styleId="robbe">
    <w:name w:val="robbe"/>
    <w:semiHidden/>
    <w:rsid w:val="003A2381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table" w:styleId="TableGrid">
    <w:name w:val="Table Grid"/>
    <w:basedOn w:val="TableNormal"/>
    <w:rsid w:val="006355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169CB"/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rsid w:val="005D5DED"/>
    <w:rPr>
      <w:rFonts w:ascii="Garamond" w:hAnsi="Garamond"/>
      <w:kern w:val="18"/>
    </w:rPr>
  </w:style>
  <w:style w:type="character" w:styleId="PageNumber">
    <w:name w:val="page number"/>
    <w:basedOn w:val="DefaultParagraphFont"/>
    <w:rsid w:val="002A21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C8E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E92C8E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E92C8E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E92C8E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E92C8E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E92C8E"/>
    <w:pPr>
      <w:outlineLvl w:val="4"/>
    </w:pPr>
  </w:style>
  <w:style w:type="paragraph" w:styleId="Heading6">
    <w:name w:val="heading 6"/>
    <w:basedOn w:val="HeadingBase"/>
    <w:next w:val="BodyText"/>
    <w:qFormat/>
    <w:rsid w:val="00E92C8E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E92C8E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E92C8E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E92C8E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E92C8E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E92C8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E92C8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E92C8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E92C8E"/>
    <w:pPr>
      <w:spacing w:after="220"/>
      <w:ind w:left="4565"/>
    </w:pPr>
  </w:style>
  <w:style w:type="character" w:styleId="Emphasis">
    <w:name w:val="Emphasis"/>
    <w:qFormat/>
    <w:rsid w:val="00E92C8E"/>
    <w:rPr>
      <w:caps/>
      <w:sz w:val="18"/>
    </w:rPr>
  </w:style>
  <w:style w:type="paragraph" w:customStyle="1" w:styleId="Enclosure">
    <w:name w:val="Enclosure"/>
    <w:basedOn w:val="Normal"/>
    <w:next w:val="CcList"/>
    <w:rsid w:val="00E92C8E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E92C8E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E92C8E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E92C8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E92C8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E92C8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E92C8E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E92C8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E92C8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E92C8E"/>
    <w:pPr>
      <w:spacing w:before="0"/>
    </w:pPr>
  </w:style>
  <w:style w:type="character" w:customStyle="1" w:styleId="Slogan">
    <w:name w:val="Slogan"/>
    <w:rsid w:val="00E92C8E"/>
    <w:rPr>
      <w:i/>
      <w:spacing w:val="70"/>
    </w:rPr>
  </w:style>
  <w:style w:type="paragraph" w:customStyle="1" w:styleId="SubjectLine">
    <w:name w:val="Subject Line"/>
    <w:basedOn w:val="Normal"/>
    <w:next w:val="BodyText"/>
    <w:rsid w:val="00E92C8E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link w:val="HeaderChar"/>
    <w:rsid w:val="00E92C8E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E92C8E"/>
    <w:pPr>
      <w:ind w:left="720" w:hanging="360"/>
    </w:pPr>
  </w:style>
  <w:style w:type="paragraph" w:styleId="ListBullet">
    <w:name w:val="List Bullet"/>
    <w:basedOn w:val="List"/>
    <w:rsid w:val="00E92C8E"/>
    <w:pPr>
      <w:numPr>
        <w:numId w:val="1"/>
      </w:numPr>
      <w:ind w:right="720"/>
    </w:pPr>
  </w:style>
  <w:style w:type="paragraph" w:styleId="ListNumber">
    <w:name w:val="List Number"/>
    <w:basedOn w:val="List"/>
    <w:rsid w:val="00E92C8E"/>
    <w:pPr>
      <w:numPr>
        <w:numId w:val="2"/>
      </w:numPr>
      <w:ind w:right="720"/>
    </w:pPr>
  </w:style>
  <w:style w:type="paragraph" w:styleId="Footer">
    <w:name w:val="footer"/>
    <w:basedOn w:val="Normal"/>
    <w:rsid w:val="00E92C8E"/>
    <w:pPr>
      <w:tabs>
        <w:tab w:val="center" w:pos="4320"/>
        <w:tab w:val="right" w:pos="8640"/>
      </w:tabs>
    </w:pPr>
  </w:style>
  <w:style w:type="character" w:styleId="Hyperlink">
    <w:name w:val="Hyperlink"/>
    <w:rsid w:val="00E92C8E"/>
    <w:rPr>
      <w:color w:val="0000FF"/>
      <w:u w:val="single"/>
    </w:rPr>
  </w:style>
  <w:style w:type="paragraph" w:styleId="EnvelopeAddress">
    <w:name w:val="envelope address"/>
    <w:basedOn w:val="Normal"/>
    <w:rsid w:val="00E92C8E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92C8E"/>
    <w:pPr>
      <w:jc w:val="left"/>
    </w:pPr>
    <w:rPr>
      <w:rFonts w:ascii="Arial" w:hAnsi="Arial" w:cs="Arial"/>
    </w:rPr>
  </w:style>
  <w:style w:type="paragraph" w:styleId="NormalWeb">
    <w:name w:val="Normal (Web)"/>
    <w:basedOn w:val="Normal"/>
    <w:rsid w:val="00E92C8E"/>
    <w:pPr>
      <w:spacing w:before="100" w:beforeAutospacing="1" w:after="100" w:afterAutospacing="1"/>
      <w:jc w:val="left"/>
    </w:pPr>
    <w:rPr>
      <w:rFonts w:ascii="Times New Roman" w:eastAsia="Arial Unicode MS" w:hAnsi="Times New Roman"/>
      <w:kern w:val="0"/>
      <w:sz w:val="24"/>
      <w:szCs w:val="24"/>
    </w:rPr>
  </w:style>
  <w:style w:type="character" w:customStyle="1" w:styleId="robbe">
    <w:name w:val="robbe"/>
    <w:semiHidden/>
    <w:rsid w:val="003A2381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table" w:styleId="TableGrid">
    <w:name w:val="Table Grid"/>
    <w:basedOn w:val="TableNormal"/>
    <w:rsid w:val="006355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169CB"/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rsid w:val="005D5DED"/>
    <w:rPr>
      <w:rFonts w:ascii="Garamond" w:hAnsi="Garamond"/>
      <w:kern w:val="18"/>
    </w:rPr>
  </w:style>
  <w:style w:type="character" w:styleId="PageNumber">
    <w:name w:val="page number"/>
    <w:basedOn w:val="DefaultParagraphFont"/>
    <w:rsid w:val="002A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BAFEE-27E4-1141-AF93-4989767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4764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mailto:thomas.fincher@sdcounty.ca.gov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Robert Ooley, AIA</dc:creator>
  <cp:keywords/>
  <cp:lastModifiedBy>Tom Fincher</cp:lastModifiedBy>
  <cp:revision>2</cp:revision>
  <cp:lastPrinted>2010-02-04T23:46:00Z</cp:lastPrinted>
  <dcterms:created xsi:type="dcterms:W3CDTF">2012-09-10T00:34:00Z</dcterms:created>
  <dcterms:modified xsi:type="dcterms:W3CDTF">2012-09-10T00:34:00Z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false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  <property fmtid="{D5CDD505-2E9C-101B-9397-08002B2CF9AE}" pid="6" name="_AdHocReviewCycleID">
    <vt:i4>2005555550</vt:i4>
  </property>
  <property fmtid="{D5CDD505-2E9C-101B-9397-08002B2CF9AE}" pid="7" name="_EmailSubject">
    <vt:lpwstr>CCAEA</vt:lpwstr>
  </property>
  <property fmtid="{D5CDD505-2E9C-101B-9397-08002B2CF9AE}" pid="8" name="_AuthorEmail">
    <vt:lpwstr>Thomas.Fincher@sdcounty.ca.gov</vt:lpwstr>
  </property>
  <property fmtid="{D5CDD505-2E9C-101B-9397-08002B2CF9AE}" pid="9" name="_AuthorEmailDisplayName">
    <vt:lpwstr>Fincher, Thomas O</vt:lpwstr>
  </property>
  <property fmtid="{D5CDD505-2E9C-101B-9397-08002B2CF9AE}" pid="10" name="_PreviousAdHocReviewCycleID">
    <vt:i4>1173626542</vt:i4>
  </property>
</Properties>
</file>